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2"/>
        <w:gridCol w:w="3224"/>
        <w:gridCol w:w="3868"/>
      </w:tblGrid>
      <w:tr>
        <w:trPr>
          <w:trHeight w:val="398" w:hRule="atLeast"/>
        </w:trPr>
        <w:tc>
          <w:tcPr>
            <w:tcW w:w="1031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53" w:hRule="atLeast"/>
        </w:trPr>
        <w:tc>
          <w:tcPr>
            <w:tcW w:w="322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2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86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様式第５－（ロ）－③</w:t>
      </w:r>
    </w:p>
    <w:tbl>
      <w:tblPr>
        <w:tblStyle w:val="11"/>
        <w:tblW w:w="1031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18"/>
      </w:tblGrid>
      <w:tr>
        <w:trPr/>
        <w:tc>
          <w:tcPr>
            <w:tcW w:w="10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中小企業信用保険法第２条第５項第５号の規定による認定申請書（ロ－③）</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潟上市長　鈴木　雄大　様</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39"/>
              <w:jc w:val="left"/>
              <w:rPr>
                <w:rFonts w:hint="default"/>
              </w:rPr>
            </w:pPr>
            <w:r>
              <w:rPr>
                <w:rFonts w:hint="eastAsia"/>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7"/>
              <w:gridCol w:w="3168"/>
              <w:gridCol w:w="3168"/>
            </w:tblGrid>
            <w:tr>
              <w:trPr>
                <w:trHeight w:val="327" w:hRule="atLeast"/>
              </w:trPr>
              <w:tc>
                <w:tcPr>
                  <w:tcW w:w="316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※表には、指定業種であって、原油等の価格の上昇を製品等の価格に転嫁できていない事業が属する業種</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日本標準産業分類の細分類番号と細分類業種名</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①上記の表に記載した指定業種（以下同じ。）に係る原油等の仕入単価の上昇（注２）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880110</wp:posOffset>
                      </wp:positionH>
                      <wp:positionV relativeFrom="paragraph">
                        <wp:posOffset>7620</wp:posOffset>
                      </wp:positionV>
                      <wp:extent cx="904240" cy="28194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904240" cy="28194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p>
                              </w:txbxContent>
                            </wps:txbx>
                            <wps:bodyPr vertOverflow="overflow" horzOverflow="overflow" wrap="square" anchor="ctr"/>
                          </wps:wsp>
                        </a:graphicData>
                      </a:graphic>
                    </wp:anchor>
                  </w:drawing>
                </mc:Choice>
                <mc:Fallback>
                  <w:pict>
                    <v:rect id="オブジェクト 0" style="mso-wrap-distance-right:16pt;mso-wrap-distance-bottom:0pt;margin-top:0.6pt;mso-position-vertical-relative:text;mso-position-horizontal-relative:text;v-text-anchor:middle;position:absolute;height:22.2pt;mso-wrap-distance-top:0pt;width:71.2pt;mso-wrap-distance-left:16pt;margin-left:69.3pt;z-index:5;" o:spid="_x0000_s1026" o:allowincell="t" o:allowoverlap="t" filled="f" stroked="f" strokecolor="#385d8a" strokeweight="2pt" o:spt="1">
                      <v:fill/>
                      <v:stroke linestyle="single" endcap="flat" dashstyle="solid"/>
                      <v:textbox style="layout-flow:horizontal;">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p>
                        </w:txbxContent>
                      </v:textbox>
                      <v:imagedata o:title=""/>
                      <w10:wrap type="none" anchorx="text" anchory="text"/>
                    </v:rect>
                  </w:pict>
                </mc:Fallback>
              </mc:AlternateConten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Ｅ：指定業種に係る原油等の最近１か月間における平均仕入れ単価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ｅ：指定業種に係るＥの期間に対応する前年１か月間の平均仕入れ単価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②全体の売上原価のうち指定業種に係る原油等の仕入価格が占める割合（注２）</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795655</wp:posOffset>
                      </wp:positionH>
                      <wp:positionV relativeFrom="paragraph">
                        <wp:posOffset>7620</wp:posOffset>
                      </wp:positionV>
                      <wp:extent cx="592455" cy="28194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2455" cy="28194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p>
                              </w:txbxContent>
                            </wps:txbx>
                            <wps:bodyPr vertOverflow="overflow" horzOverflow="overflow" wrap="square" anchor="ctr"/>
                          </wps:wsp>
                        </a:graphicData>
                      </a:graphic>
                    </wp:anchor>
                  </w:drawing>
                </mc:Choice>
                <mc:Fallback>
                  <w:pict>
                    <v:rect id="オブジェクト 0" style="mso-wrap-distance-right:16pt;mso-wrap-distance-bottom:0pt;margin-top:0.6pt;mso-position-vertical-relative:text;mso-position-horizontal-relative:text;v-text-anchor:middle;position:absolute;height:22.2pt;mso-wrap-distance-top:0pt;width:46.65pt;mso-wrap-distance-left:16pt;margin-left:62.65pt;z-index:6;" o:spid="_x0000_s1027" o:allowincell="t" o:allowoverlap="t" filled="f" stroked="f" strokecolor="#385d8a" strokeweight="2pt" o:spt="1">
                      <v:fill/>
                      <v:stroke linestyle="single" endcap="flat" dashstyle="solid"/>
                      <v:textbox style="layout-flow:horizontal;">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p>
                        </w:txbxContent>
                      </v:textbox>
                      <v:imagedata o:title=""/>
                      <w10:wrap type="none" anchorx="text" anchory="text"/>
                    </v:rect>
                  </w:pict>
                </mc:Fallback>
              </mc:AlternateContent>
            </w:r>
            <w:r>
              <w:rPr>
                <w:rFonts w:hint="eastAsia" w:ascii="ＭＳ ゴシック" w:hAnsi="ＭＳ ゴシック" w:eastAsia="ＭＳ ゴシック"/>
                <w:color w:val="000000"/>
                <w:kern w:val="0"/>
                <w:u w:val="single" w:color="000000"/>
              </w:rPr>
              <w:t>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Ｃ：申込時点における最新の全体の売上原価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Ｓ：Ｃの売上原価に対応する指定業種に係る原油等の仕入価格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1838325</wp:posOffset>
                      </wp:positionH>
                      <wp:positionV relativeFrom="paragraph">
                        <wp:posOffset>133350</wp:posOffset>
                      </wp:positionV>
                      <wp:extent cx="668655" cy="24384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668655" cy="24384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＝Ｐ１</w:t>
                                  </w:r>
                                </w:p>
                              </w:txbxContent>
                            </wps:txbx>
                            <wps:bodyPr vertOverflow="overflow" horzOverflow="overflow" wrap="square" anchor="ctr"/>
                          </wps:wsp>
                        </a:graphicData>
                      </a:graphic>
                    </wp:anchor>
                  </w:drawing>
                </mc:Choice>
                <mc:Fallback>
                  <w:pict>
                    <v:rect id="オブジェクト 0" style="mso-wrap-distance-right:16pt;mso-wrap-distance-bottom:0pt;margin-top:10.5pt;mso-position-vertical-relative:text;mso-position-horizontal-relative:text;v-text-anchor:middle;position:absolute;height:19.2pt;mso-wrap-distance-top:0pt;width:52.65pt;mso-wrap-distance-left:16pt;margin-left:144.75pt;z-index:7;" o:spid="_x0000_s1028" o:allowincell="t" o:allowoverlap="t" filled="f" stroked="f" strokecolor="#385d8a" strokeweight="2pt" o:spt="1">
                      <v:fill/>
                      <v:stroke linestyle="single" endcap="flat" dashstyle="solid"/>
                      <v:textbox style="layout-flow:horizontal;">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＝Ｐ１</w:t>
                            </w:r>
                          </w:p>
                        </w:txbxContent>
                      </v:textbox>
                      <v:imagedata o:title=""/>
                      <w10:wrap type="none" anchorx="text" anchory="text"/>
                    </v:rect>
                  </w:pict>
                </mc:Fallback>
              </mc:AlternateContent>
            </w:r>
            <w:r>
              <w:rPr>
                <w:rFonts w:hint="eastAsia" w:ascii="ＭＳ ゴシック" w:hAnsi="ＭＳ ゴシック" w:eastAsia="ＭＳ ゴシック"/>
                <w:color w:val="000000"/>
                <w:kern w:val="0"/>
              </w:rPr>
              <w:t>③－１　指定業種に係る製品等価格への転嫁の状況（注３）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Ｐ１＝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Ｂ１：申込時点における最近３か月間の指定業種に係る売上高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kern w:val="0"/>
              </w:rPr>
              <w:t>　ｂ１：Ｂ１の期間に対応する前年３か月間の指定業種に係る売上高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1876425</wp:posOffset>
                      </wp:positionH>
                      <wp:positionV relativeFrom="paragraph">
                        <wp:posOffset>146050</wp:posOffset>
                      </wp:positionV>
                      <wp:extent cx="737235" cy="289560"/>
                      <wp:effectExtent l="0" t="0" r="635" b="635"/>
                      <wp:wrapNone/>
                      <wp:docPr id="1029" name="オブジェクト 0"/>
                      <a:graphic xmlns:a="http://schemas.openxmlformats.org/drawingml/2006/main">
                        <a:graphicData uri="http://schemas.microsoft.com/office/word/2010/wordprocessingShape">
                          <wps:wsp>
                            <wps:cNvPr id="1029" name="オブジェクト 0"/>
                            <wps:cNvSpPr/>
                            <wps:spPr>
                              <a:xfrm>
                                <a:off x="0" y="0"/>
                                <a:ext cx="737235" cy="28956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＝Ｐ２</w:t>
                                  </w:r>
                                </w:p>
                              </w:txbxContent>
                            </wps:txbx>
                            <wps:bodyPr vertOverflow="overflow" horzOverflow="overflow" wrap="square" anchor="ctr"/>
                          </wps:wsp>
                        </a:graphicData>
                      </a:graphic>
                    </wp:anchor>
                  </w:drawing>
                </mc:Choice>
                <mc:Fallback>
                  <w:pict>
                    <v:rect id="オブジェクト 0" style="mso-wrap-distance-right:16pt;mso-wrap-distance-bottom:0pt;margin-top:11.5pt;mso-position-vertical-relative:text;mso-position-horizontal-relative:text;v-text-anchor:middle;position:absolute;height:22.8pt;mso-wrap-distance-top:0pt;width:58.05pt;mso-wrap-distance-left:16pt;margin-left:147.75pt;z-index:8;" o:spid="_x0000_s1029" o:allowincell="t" o:allowoverlap="t" filled="f" stroked="f" strokecolor="#385d8a" strokeweight="2pt" o:spt="1">
                      <v:fill/>
                      <v:stroke linestyle="single" endcap="flat" dashstyle="solid"/>
                      <v:textbox style="layout-flow:horizontal;">
                        <w:txbxContent>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themeColor="text1"/>
                              </w:rPr>
                              <w:t>＝Ｐ２</w:t>
                            </w:r>
                          </w:p>
                        </w:txbxContent>
                      </v:textbox>
                      <v:imagedata o:title=""/>
                      <w10:wrap type="none" anchorx="text" anchory="text"/>
                    </v:rect>
                  </w:pict>
                </mc:Fallback>
              </mc:AlternateContent>
            </w:r>
            <w:r>
              <w:rPr>
                <w:rFonts w:hint="eastAsia" w:ascii="ＭＳ ゴシック" w:hAnsi="ＭＳ ゴシック" w:eastAsia="ＭＳ ゴシック"/>
                <w:color w:val="000000"/>
                <w:kern w:val="0"/>
              </w:rPr>
              <w:t>③－２　全体に係る製品等価格への転嫁の状況（注３）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Ｐ２＝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Ｂ２：申込時点における最近３か月間の全体の売上高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mc:AlternateContent>
                <mc:Choice Requires="wps">
                  <w:drawing>
                    <wp:anchor distT="0" distB="0" distL="114300" distR="114300" simplePos="0" relativeHeight="4" behindDoc="0" locked="0" layoutInCell="1" hidden="0" allowOverlap="1">
                      <wp:simplePos x="0" y="0"/>
                      <wp:positionH relativeFrom="column">
                        <wp:posOffset>97155</wp:posOffset>
                      </wp:positionH>
                      <wp:positionV relativeFrom="paragraph">
                        <wp:posOffset>153670</wp:posOffset>
                      </wp:positionV>
                      <wp:extent cx="6267450" cy="838200"/>
                      <wp:effectExtent l="635" t="635" r="29845" b="10795"/>
                      <wp:wrapNone/>
                      <wp:docPr id="1030" name="正方形/長方形 1"/>
                      <a:graphic xmlns:a="http://schemas.openxmlformats.org/drawingml/2006/main">
                        <a:graphicData uri="http://schemas.microsoft.com/office/word/2010/wordprocessingShape">
                          <wps:wsp>
                            <wps:cNvPr id="1030" name="正方形/長方形 1"/>
                            <wps:cNvSpPr/>
                            <wps:spPr>
                              <a:xfrm>
                                <a:off x="0" y="0"/>
                                <a:ext cx="6267450" cy="838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2.1pt;mso-position-vertical-relative:text;mso-position-horizontal-relative:text;position:absolute;height:66pt;mso-wrap-distance-top:0pt;width:493.5pt;mso-wrap-distance-left:9pt;margin-left:7.65pt;z-index:4;" o:spid="_x0000_s1030"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color w:val="000000"/>
                <w:kern w:val="0"/>
              </w:rPr>
              <w:t>　ｂ２：Ｂ２の期間に対応する前年３か月間の全体の売上高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40" w:lineRule="exac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潟上市長　　鈴　木　　雄　大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tc>
      </w:tr>
    </w:tbl>
    <w:p>
      <w:pPr>
        <w:pStyle w:val="0"/>
        <w:suppressAutoHyphens w:val="1"/>
        <w:spacing w:line="320" w:lineRule="exact"/>
        <w:ind w:left="737" w:hanging="737"/>
        <w:jc w:val="right"/>
        <w:textAlignment w:val="baseline"/>
        <w:rPr>
          <w:rFonts w:hint="default" w:ascii="ＭＳ ゴシック" w:hAnsi="ＭＳ ゴシック" w:eastAsia="ＭＳ ゴシック"/>
          <w:color w:val="000000"/>
          <w:kern w:val="0"/>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-38100</wp:posOffset>
                </wp:positionH>
                <wp:positionV relativeFrom="paragraph">
                  <wp:posOffset>50165</wp:posOffset>
                </wp:positionV>
                <wp:extent cx="6557645" cy="1203960"/>
                <wp:effectExtent l="0" t="0" r="635" b="635"/>
                <wp:wrapNone/>
                <wp:docPr id="1031" name="Text Box 3"/>
                <a:graphic xmlns:a="http://schemas.openxmlformats.org/drawingml/2006/main">
                  <a:graphicData uri="http://schemas.microsoft.com/office/word/2010/wordprocessingShape">
                    <wps:wsp>
                      <wps:cNvPr id="1031" name="Text Box 3"/>
                      <wps:cNvSpPr txBox="1">
                        <a:spLocks noChangeArrowheads="1"/>
                      </wps:cNvSpPr>
                      <wps:spPr>
                        <a:xfrm>
                          <a:off x="0" y="0"/>
                          <a:ext cx="6557645" cy="1203960"/>
                        </a:xfrm>
                        <a:prstGeom prst="rect">
                          <a:avLst/>
                        </a:prstGeom>
                        <a:noFill/>
                        <a:ln>
                          <a:noFill/>
                        </a:ln>
                      </wps:spPr>
                      <wps:txbx>
                        <w:txbxContent>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指定業種に係る原油等の仕入価格の上昇等を指定業種及び企業全体の製品等の価格に転嫁できていないことによって認定基準を満たす場合に使用する。（注２）上昇率及び依存率が２０％以上となっていること。（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（留意事項）①　本認定とは別に、金融機関及び信用保証協会による金融上の審査があります。</w:t>
                            </w:r>
                          </w:p>
                          <w:p>
                            <w:pPr>
                              <w:pStyle w:val="0"/>
                              <w:suppressAutoHyphens w:val="1"/>
                              <w:kinsoku w:val="0"/>
                              <w:autoSpaceDE w:val="0"/>
                              <w:autoSpaceDN w:val="0"/>
                              <w:spacing w:line="280" w:lineRule="exact"/>
                              <w:ind w:left="320" w:hanging="320" w:hangingChars="267"/>
                              <w:jc w:val="left"/>
                              <w:rPr>
                                <w:rFonts w:hint="default" w:ascii="ＭＳ ゴシック" w:hAnsi="ＭＳ ゴシック" w:eastAsia="ＭＳ ゴシック"/>
                                <w:color w:val="000000"/>
                                <w:spacing w:val="16"/>
                                <w:kern w:val="0"/>
                                <w:sz w:val="32"/>
                              </w:rPr>
                            </w:pPr>
                            <w:r>
                              <w:rPr>
                                <w:rFonts w:hint="eastAsia" w:ascii="ＭＳ ゴシック" w:hAnsi="ＭＳ ゴシック" w:eastAsia="ＭＳ ゴシック"/>
                                <w:color w:val="000000"/>
                                <w:kern w:val="0"/>
                                <w:sz w:val="20"/>
                              </w:rPr>
                              <w:t>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3.95pt;mso-position-vertical-relative:text;mso-position-horizontal-relative:text;v-text-anchor:top;position:absolute;height:94.8pt;mso-wrap-distance-top:0pt;width:516.35pt;mso-wrap-distance-left:9pt;margin-left:-3pt;z-index:2;" o:spid="_x0000_s1031" o:allowincell="t" o:allowoverlap="t" filled="f" stroked="f" o:spt="202" type="#_x0000_t202">
                <v:fill/>
                <v:textbox style="layout-flow:horizontal;">
                  <w:txbxContent>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指定業種に係る原油等の仕入価格の上昇等を指定業種及び企業全体の製品等の価格に転嫁できていないことによって認定基準を満たす場合に使用する。（注２）上昇率及び依存率が２０％以上となっていること。（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（留意事項）①　本認定とは別に、金融機関及び信用保証協会による金融上の審査があります。</w:t>
                      </w:r>
                    </w:p>
                    <w:p>
                      <w:pPr>
                        <w:pStyle w:val="0"/>
                        <w:suppressAutoHyphens w:val="1"/>
                        <w:kinsoku w:val="0"/>
                        <w:autoSpaceDE w:val="0"/>
                        <w:autoSpaceDN w:val="0"/>
                        <w:spacing w:line="280" w:lineRule="exact"/>
                        <w:ind w:left="320" w:hanging="320" w:hangingChars="267"/>
                        <w:jc w:val="left"/>
                        <w:rPr>
                          <w:rFonts w:hint="default" w:ascii="ＭＳ ゴシック" w:hAnsi="ＭＳ ゴシック" w:eastAsia="ＭＳ ゴシック"/>
                          <w:color w:val="000000"/>
                          <w:spacing w:val="16"/>
                          <w:kern w:val="0"/>
                          <w:sz w:val="32"/>
                        </w:rPr>
                      </w:pPr>
                      <w:r>
                        <w:rPr>
                          <w:rFonts w:hint="eastAsia" w:ascii="ＭＳ ゴシック" w:hAnsi="ＭＳ ゴシック" w:eastAsia="ＭＳ ゴシック"/>
                          <w:color w:val="000000"/>
                          <w:kern w:val="0"/>
                          <w:sz w:val="20"/>
                        </w:rPr>
                        <w:t>　②　市町村長又は特別区長から認定を受けた後、本認定の有効期間内に金融機関又は信用保証協会に対して、経営安定関連保証の申込みを行うことが必要です。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ascii="ＭＳ ゴシック" w:hAnsi="ＭＳ ゴシック" w:eastAsia="ＭＳ ゴシック"/>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32" name="正方形/長方形 7"/>
                <a:graphic xmlns:a="http://schemas.openxmlformats.org/drawingml/2006/main">
                  <a:graphicData uri="http://schemas.microsoft.com/office/word/2010/wordprocessingShape">
                    <wps:wsp>
                      <wps:cNvPr id="1032"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32"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r>
        <w:rPr>
          <w:rFonts w:hint="eastAsia"/>
        </w:rPr>
        <w:br w:type="page"/>
      </w:r>
    </w:p>
    <w:p>
      <w:pPr>
        <w:pStyle w:val="0"/>
        <w:rPr>
          <w:rFonts w:hint="default"/>
        </w:rPr>
      </w:pPr>
    </w:p>
    <w:p>
      <w:pPr>
        <w:pStyle w:val="0"/>
        <w:spacing w:line="362" w:lineRule="exact"/>
        <w:rPr>
          <w:rFonts w:hint="default"/>
        </w:rPr>
      </w:pPr>
      <w:r>
        <w:rPr>
          <w:rFonts w:hint="eastAsia" w:eastAsia="ＭＳ Ｐゴシック"/>
        </w:rPr>
        <w:t>５号－（ロ）－③</w:t>
      </w:r>
      <w:r>
        <w:rPr>
          <w:rFonts w:hint="eastAsia" w:eastAsia="ＭＳ Ｐゴシック"/>
        </w:rPr>
        <w:t xml:space="preserve"> </w:t>
      </w:r>
      <w:r>
        <w:rPr>
          <w:rFonts w:hint="eastAsia" w:eastAsia="ＭＳ Ｐゴシック"/>
        </w:rPr>
        <w:t>認定添付書類</w:t>
      </w:r>
    </w:p>
    <w:p>
      <w:pPr>
        <w:pStyle w:val="0"/>
        <w:spacing w:line="362" w:lineRule="exact"/>
        <w:rPr>
          <w:rFonts w:hint="default"/>
        </w:rPr>
      </w:pPr>
    </w:p>
    <w:p>
      <w:pPr>
        <w:pStyle w:val="0"/>
        <w:spacing w:line="362" w:lineRule="exact"/>
        <w:jc w:val="center"/>
        <w:rPr>
          <w:rFonts w:hint="default"/>
        </w:rPr>
      </w:pPr>
      <w:r>
        <w:rPr>
          <w:rFonts w:hint="eastAsia" w:eastAsia="ＭＳ Ｐゴシック"/>
          <w:sz w:val="24"/>
        </w:rPr>
        <w:t>売上高比較表</w:t>
      </w:r>
    </w:p>
    <w:p>
      <w:pPr>
        <w:pStyle w:val="0"/>
        <w:spacing w:line="362" w:lineRule="exact"/>
        <w:rPr>
          <w:rFonts w:hint="eastAsia"/>
        </w:rPr>
      </w:pPr>
    </w:p>
    <w:p>
      <w:pPr>
        <w:pStyle w:val="0"/>
        <w:spacing w:line="362" w:lineRule="atLeast"/>
        <w:rPr>
          <w:rFonts w:hint="eastAsia"/>
        </w:rPr>
      </w:pPr>
      <w:r>
        <w:rPr>
          <w:rFonts w:hint="eastAsia"/>
        </w:rPr>
        <w:t>（表１：原油等の仕入単価の上昇【①】）</w:t>
      </w:r>
    </w:p>
    <w:tbl>
      <w:tblPr>
        <w:tblStyle w:val="11"/>
        <w:tblW w:w="9225"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612"/>
        <w:gridCol w:w="4613"/>
      </w:tblGrid>
      <w:tr>
        <w:trPr>
          <w:trHeight w:val="450"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指定業種に係る原油等の最近１か月における平均仕入単価：（Ｅ）</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default"/>
              </w:rPr>
            </w:pPr>
          </w:p>
          <w:p>
            <w:pPr>
              <w:pStyle w:val="0"/>
              <w:spacing w:line="362" w:lineRule="atLeast"/>
              <w:jc w:val="right"/>
              <w:rPr>
                <w:rFonts w:hint="eastAsia"/>
              </w:rPr>
            </w:pPr>
            <w:r>
              <w:rPr>
                <w:rFonts w:hint="eastAsia"/>
              </w:rPr>
              <w:t>円</w:t>
            </w:r>
          </w:p>
        </w:tc>
      </w:tr>
      <w:tr>
        <w:trPr>
          <w:trHeight w:val="450"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kern w:val="0"/>
              </w:rPr>
              <w:t>指定業種に係る（Ｅ）の期間に対応する前年１か月間の平均仕入単価：</w:t>
            </w:r>
            <w:r>
              <w:rPr>
                <w:rFonts w:hint="eastAsia"/>
              </w:rPr>
              <w:t>（ｅ）</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default"/>
              </w:rPr>
            </w:pPr>
          </w:p>
          <w:p>
            <w:pPr>
              <w:pStyle w:val="0"/>
              <w:spacing w:line="362" w:lineRule="atLeast"/>
              <w:jc w:val="right"/>
              <w:rPr>
                <w:rFonts w:hint="eastAsia"/>
              </w:rPr>
            </w:pPr>
            <w:r>
              <w:rPr>
                <w:rFonts w:hint="eastAsia"/>
              </w:rPr>
              <w:t>円</w:t>
            </w:r>
          </w:p>
        </w:tc>
      </w:tr>
      <w:tr>
        <w:trPr>
          <w:trHeight w:val="373"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上昇率：Ｅ／ｅ×</w:t>
            </w:r>
            <w:r>
              <w:rPr>
                <w:rFonts w:hint="eastAsia"/>
              </w:rPr>
              <w:t>100</w:t>
            </w:r>
            <w:r>
              <w:rPr>
                <w:rFonts w:hint="eastAsia"/>
              </w:rPr>
              <w:t>－</w:t>
            </w:r>
            <w:r>
              <w:rPr>
                <w:rFonts w:hint="eastAsia"/>
              </w:rPr>
              <w:t>100</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w:t>
            </w:r>
          </w:p>
        </w:tc>
      </w:tr>
    </w:tbl>
    <w:p>
      <w:pPr>
        <w:pStyle w:val="0"/>
        <w:spacing w:line="362" w:lineRule="exact"/>
        <w:rPr>
          <w:rFonts w:hint="default"/>
        </w:rPr>
      </w:pPr>
    </w:p>
    <w:p>
      <w:pPr>
        <w:pStyle w:val="0"/>
        <w:spacing w:line="362" w:lineRule="atLeast"/>
        <w:rPr>
          <w:rFonts w:hint="eastAsia"/>
        </w:rPr>
      </w:pPr>
      <w:r>
        <w:rPr>
          <w:rFonts w:hint="eastAsia"/>
        </w:rPr>
        <w:t>（表２：原油等が売上原価に占める割合【②】）</w:t>
      </w:r>
    </w:p>
    <w:tbl>
      <w:tblPr>
        <w:tblStyle w:val="11"/>
        <w:tblW w:w="9225"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612"/>
        <w:gridCol w:w="4613"/>
      </w:tblGrid>
      <w:tr>
        <w:trPr>
          <w:trHeight w:val="450"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申込時点における最新の全体の売上原価：（Ｃ）</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50"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left"/>
              <w:rPr>
                <w:rFonts w:hint="eastAsia"/>
              </w:rPr>
            </w:pPr>
            <w:r>
              <w:rPr>
                <w:rFonts w:hint="eastAsia"/>
                <w:kern w:val="0"/>
              </w:rPr>
              <w:t>（Ｃ）の売上原価に対応する指定業種に係る原油等の仕入価格：</w:t>
            </w:r>
            <w:r>
              <w:rPr>
                <w:rFonts w:hint="eastAsia"/>
              </w:rPr>
              <w:t>（Ｓ）</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default"/>
              </w:rPr>
            </w:pPr>
          </w:p>
          <w:p>
            <w:pPr>
              <w:pStyle w:val="0"/>
              <w:spacing w:line="362" w:lineRule="atLeast"/>
              <w:jc w:val="right"/>
              <w:rPr>
                <w:rFonts w:hint="eastAsia"/>
              </w:rPr>
            </w:pPr>
            <w:r>
              <w:rPr>
                <w:rFonts w:hint="eastAsia"/>
              </w:rPr>
              <w:t>円</w:t>
            </w:r>
          </w:p>
        </w:tc>
      </w:tr>
      <w:tr>
        <w:trPr>
          <w:trHeight w:val="373" w:hRule="atLeast"/>
        </w:trPr>
        <w:tc>
          <w:tcPr>
            <w:tcW w:w="46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依存率：Ｓ／Ｃ×</w:t>
            </w:r>
            <w:r>
              <w:rPr>
                <w:rFonts w:hint="eastAsia"/>
              </w:rPr>
              <w:t>100</w:t>
            </w:r>
          </w:p>
        </w:tc>
        <w:tc>
          <w:tcPr>
            <w:tcW w:w="46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w:t>
            </w:r>
          </w:p>
        </w:tc>
      </w:tr>
    </w:tbl>
    <w:p>
      <w:pPr>
        <w:pStyle w:val="0"/>
        <w:spacing w:line="362" w:lineRule="exact"/>
        <w:rPr>
          <w:rFonts w:hint="eastAsia"/>
        </w:rPr>
      </w:pPr>
    </w:p>
    <w:p>
      <w:pPr>
        <w:pStyle w:val="0"/>
        <w:spacing w:line="362" w:lineRule="atLeast"/>
        <w:rPr>
          <w:rFonts w:hint="default"/>
        </w:rPr>
      </w:pPr>
      <w:r>
        <w:rPr>
          <w:rFonts w:hint="eastAsia"/>
        </w:rPr>
        <w:t>（表３：製品等価格への転嫁の状況【③】）</w:t>
      </w:r>
    </w:p>
    <w:p>
      <w:pPr>
        <w:pStyle w:val="0"/>
        <w:wordWrap w:val="0"/>
        <w:spacing w:line="362" w:lineRule="atLeast"/>
        <w:jc w:val="right"/>
        <w:rPr>
          <w:rFonts w:hint="eastAsia"/>
        </w:rPr>
      </w:pPr>
      <w:r>
        <w:rPr>
          <w:rFonts w:hint="eastAsia"/>
        </w:rPr>
        <w:t>【指定業種】　　　　　　　　　【全体】　　　　</w:t>
      </w:r>
    </w:p>
    <w:tbl>
      <w:tblPr>
        <w:tblStyle w:val="11"/>
        <w:tblW w:w="9739"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4597"/>
        <w:gridCol w:w="2526"/>
        <w:gridCol w:w="2616"/>
      </w:tblGrid>
      <w:tr>
        <w:trPr>
          <w:trHeight w:val="471" w:hRule="atLeast"/>
        </w:trPr>
        <w:tc>
          <w:tcPr>
            <w:tcW w:w="4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spacing w:val="1"/>
                <w:w w:val="77"/>
                <w:kern w:val="0"/>
                <w:fitText w:val="3743" w:id="1"/>
              </w:rPr>
              <w:t>申込時点における最近３か月間の原油等の仕入価</w:t>
            </w:r>
            <w:r>
              <w:rPr>
                <w:rFonts w:hint="eastAsia"/>
                <w:spacing w:val="0"/>
                <w:w w:val="77"/>
                <w:kern w:val="0"/>
                <w:fitText w:val="3743" w:id="1"/>
              </w:rPr>
              <w:t>格</w:t>
            </w:r>
            <w:r>
              <w:rPr>
                <w:rFonts w:hint="eastAsia"/>
              </w:rPr>
              <w:t>：（Ａ）</w:t>
            </w:r>
          </w:p>
        </w:tc>
        <w:tc>
          <w:tcPr>
            <w:tcW w:w="2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c>
          <w:tcPr>
            <w:tcW w:w="26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71" w:hRule="atLeast"/>
        </w:trPr>
        <w:tc>
          <w:tcPr>
            <w:tcW w:w="4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left"/>
              <w:rPr>
                <w:rFonts w:hint="eastAsia"/>
              </w:rPr>
            </w:pPr>
            <w:r>
              <w:rPr>
                <w:rFonts w:hint="eastAsia"/>
                <w:spacing w:val="0"/>
                <w:w w:val="69"/>
                <w:kern w:val="0"/>
                <w:fitText w:val="4382" w:id="2"/>
              </w:rPr>
              <w:t>（Ａ）の期間に対応する前年３か月間の原油等の仕入価格：（ａ</w:t>
            </w:r>
            <w:r>
              <w:rPr>
                <w:rFonts w:hint="eastAsia"/>
                <w:spacing w:val="25"/>
                <w:w w:val="69"/>
                <w:kern w:val="0"/>
                <w:fitText w:val="4382" w:id="2"/>
              </w:rPr>
              <w:t>）</w:t>
            </w:r>
          </w:p>
        </w:tc>
        <w:tc>
          <w:tcPr>
            <w:tcW w:w="2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c>
          <w:tcPr>
            <w:tcW w:w="26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71" w:hRule="atLeast"/>
        </w:trPr>
        <w:tc>
          <w:tcPr>
            <w:tcW w:w="4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申込時点における最近３か月間の売上高：（Ｂ）</w:t>
            </w:r>
          </w:p>
        </w:tc>
        <w:tc>
          <w:tcPr>
            <w:tcW w:w="2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c>
          <w:tcPr>
            <w:tcW w:w="26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71" w:hRule="atLeast"/>
        </w:trPr>
        <w:tc>
          <w:tcPr>
            <w:tcW w:w="4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spacing w:val="1"/>
                <w:w w:val="83"/>
                <w:kern w:val="0"/>
                <w:fitText w:val="4228" w:id="3"/>
              </w:rPr>
              <w:t>（Ｂ）の期間に対応する前年３か月間の売上高（ｂ</w:t>
            </w:r>
            <w:r>
              <w:rPr>
                <w:rFonts w:hint="eastAsia"/>
                <w:spacing w:val="4"/>
                <w:w w:val="83"/>
                <w:kern w:val="0"/>
                <w:fitText w:val="4228" w:id="3"/>
              </w:rPr>
              <w:t>）</w:t>
            </w:r>
          </w:p>
        </w:tc>
        <w:tc>
          <w:tcPr>
            <w:tcW w:w="2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c>
          <w:tcPr>
            <w:tcW w:w="26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r>
              <w:rPr>
                <w:rFonts w:hint="eastAsia"/>
              </w:rPr>
              <w:t>円</w:t>
            </w:r>
          </w:p>
        </w:tc>
      </w:tr>
      <w:tr>
        <w:trPr>
          <w:trHeight w:val="459" w:hRule="atLeast"/>
        </w:trPr>
        <w:tc>
          <w:tcPr>
            <w:tcW w:w="4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rPr>
                <w:rFonts w:hint="eastAsia"/>
              </w:rPr>
            </w:pPr>
            <w:r>
              <w:rPr>
                <w:rFonts w:hint="eastAsia"/>
              </w:rPr>
              <w:t>転嫁状況（Ａ／Ｂ）―（ａ／ｂ）：Ｐ</w:t>
            </w:r>
          </w:p>
        </w:tc>
        <w:tc>
          <w:tcPr>
            <w:tcW w:w="25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p>
        </w:tc>
        <w:tc>
          <w:tcPr>
            <w:tcW w:w="26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2" w:lineRule="atLeast"/>
              <w:jc w:val="right"/>
              <w:rPr>
                <w:rFonts w:hint="eastAsia"/>
              </w:rPr>
            </w:pPr>
          </w:p>
        </w:tc>
      </w:tr>
    </w:tbl>
    <w:p>
      <w:pPr>
        <w:pStyle w:val="0"/>
        <w:spacing w:line="362" w:lineRule="exact"/>
        <w:rPr>
          <w:rFonts w:hint="default"/>
        </w:rPr>
      </w:pPr>
    </w:p>
    <w:p>
      <w:pPr>
        <w:pStyle w:val="0"/>
        <w:spacing w:line="362" w:lineRule="exact"/>
        <w:rPr>
          <w:rFonts w:hint="default"/>
        </w:rPr>
      </w:pPr>
    </w:p>
    <w:p>
      <w:pPr>
        <w:pStyle w:val="0"/>
        <w:spacing w:line="362" w:lineRule="exact"/>
        <w:rPr>
          <w:rFonts w:hint="default"/>
        </w:rPr>
      </w:pPr>
    </w:p>
    <w:p>
      <w:pPr>
        <w:pStyle w:val="0"/>
        <w:spacing w:line="362" w:lineRule="exact"/>
        <w:rPr>
          <w:rFonts w:hint="default"/>
        </w:rPr>
      </w:pPr>
    </w:p>
    <w:p>
      <w:pPr>
        <w:pStyle w:val="0"/>
        <w:spacing w:line="362" w:lineRule="exact"/>
        <w:rPr>
          <w:rFonts w:hint="default"/>
        </w:rPr>
      </w:pPr>
    </w:p>
    <w:p>
      <w:pPr>
        <w:pStyle w:val="0"/>
        <w:spacing w:line="362" w:lineRule="exact"/>
        <w:rPr>
          <w:rFonts w:hint="eastAsia"/>
        </w:rPr>
      </w:pPr>
    </w:p>
    <w:p>
      <w:pPr>
        <w:pStyle w:val="0"/>
        <w:spacing w:line="362" w:lineRule="exact"/>
        <w:rPr>
          <w:rFonts w:hint="eastAsia"/>
        </w:rPr>
      </w:pPr>
      <w:r>
        <w:rPr>
          <w:rFonts w:hint="eastAsia"/>
        </w:rPr>
        <w:t>　潟上市長　　鈴木　雄大　様　　</w:t>
      </w:r>
    </w:p>
    <w:p>
      <w:pPr>
        <w:pStyle w:val="0"/>
        <w:spacing w:line="362" w:lineRule="exact"/>
        <w:rPr>
          <w:rFonts w:hint="eastAsia"/>
        </w:rPr>
      </w:pPr>
      <w:r>
        <w:rPr>
          <w:rFonts w:hint="eastAsia"/>
        </w:rPr>
        <w:t>　　　　　上記のとおり相違ありません。</w:t>
      </w:r>
    </w:p>
    <w:p>
      <w:pPr>
        <w:pStyle w:val="0"/>
        <w:spacing w:line="362" w:lineRule="exact"/>
        <w:ind w:firstLine="984" w:firstLineChars="500"/>
        <w:rPr>
          <w:rFonts w:hint="default"/>
        </w:rPr>
      </w:pPr>
      <w:r>
        <w:rPr>
          <w:rFonts w:hint="eastAsia"/>
        </w:rPr>
        <w:t>令和　　　年　　　月　　　日</w:t>
      </w:r>
    </w:p>
    <w:p>
      <w:pPr>
        <w:pStyle w:val="0"/>
        <w:spacing w:line="362" w:lineRule="exact"/>
        <w:rPr>
          <w:rFonts w:hint="default"/>
        </w:rPr>
      </w:pPr>
    </w:p>
    <w:p>
      <w:pPr>
        <w:pStyle w:val="0"/>
        <w:spacing w:line="400" w:lineRule="atLeast"/>
        <w:ind w:firstLine="3670"/>
        <w:rPr>
          <w:rFonts w:hint="default"/>
        </w:rPr>
      </w:pPr>
      <w:r>
        <w:rPr>
          <w:rFonts w:hint="eastAsia"/>
        </w:rPr>
        <w:t>（申請者）</w:t>
      </w:r>
    </w:p>
    <w:p>
      <w:pPr>
        <w:pStyle w:val="0"/>
        <w:spacing w:line="400" w:lineRule="atLeast"/>
        <w:ind w:firstLine="3880"/>
        <w:rPr>
          <w:rFonts w:hint="default"/>
        </w:rPr>
      </w:pPr>
      <w:r>
        <w:rPr>
          <w:rFonts w:hint="eastAsia"/>
        </w:rPr>
        <w:t>住　所</w:t>
      </w:r>
    </w:p>
    <w:p>
      <w:pPr>
        <w:pStyle w:val="0"/>
        <w:spacing w:line="400" w:lineRule="atLeast"/>
        <w:ind w:firstLine="3880"/>
        <w:rPr>
          <w:rFonts w:hint="default"/>
        </w:rPr>
      </w:pPr>
      <w:r>
        <w:rPr>
          <w:rFonts w:hint="eastAsia"/>
        </w:rPr>
        <w:t>会社名</w:t>
      </w:r>
      <w:r>
        <w:rPr>
          <w:rFonts w:hint="default" w:ascii="ＭＳ 明朝" w:hAnsi="ＭＳ 明朝"/>
        </w:rPr>
        <w:t>(</w:t>
      </w:r>
      <w:r>
        <w:rPr>
          <w:rFonts w:hint="eastAsia"/>
        </w:rPr>
        <w:t>商号</w:t>
      </w:r>
      <w:r>
        <w:rPr>
          <w:rFonts w:hint="default" w:ascii="ＭＳ 明朝" w:hAnsi="ＭＳ 明朝"/>
        </w:rPr>
        <w:t>)</w:t>
      </w:r>
    </w:p>
    <w:p>
      <w:pPr>
        <w:pStyle w:val="0"/>
        <w:spacing w:line="400" w:lineRule="atLeast"/>
        <w:ind w:firstLine="3880"/>
        <w:rPr>
          <w:rFonts w:hint="eastAsia"/>
        </w:rPr>
      </w:pPr>
      <w:r>
        <w:rPr>
          <w:rFonts w:hint="eastAsia"/>
          <w:u w:val="single" w:color="000000"/>
        </w:rPr>
        <w:t>代表者</w:t>
      </w:r>
      <w:r>
        <w:rPr>
          <w:rFonts w:hint="default" w:ascii="ＭＳ 明朝" w:hAnsi="ＭＳ 明朝"/>
          <w:u w:val="single" w:color="000000"/>
        </w:rPr>
        <w:t>(</w:t>
      </w:r>
      <w:r>
        <w:rPr>
          <w:rFonts w:hint="eastAsia"/>
          <w:u w:val="single" w:color="000000"/>
        </w:rPr>
        <w:t>氏名</w:t>
      </w:r>
      <w:r>
        <w:rPr>
          <w:rFonts w:hint="default" w:ascii="ＭＳ 明朝" w:hAnsi="ＭＳ 明朝"/>
          <w:u w:val="single" w:color="000000"/>
        </w:rPr>
        <w:t>)</w:t>
      </w:r>
      <w:r>
        <w:rPr>
          <w:rFonts w:hint="eastAsia"/>
          <w:u w:val="single" w:color="000000"/>
        </w:rPr>
        <w:t>　　　　　　　　　　　　　　　　　　　　</w:t>
      </w:r>
    </w:p>
    <w:p>
      <w:pPr>
        <w:pStyle w:val="0"/>
        <w:rPr>
          <w:rFonts w:hint="default"/>
        </w:rPr>
      </w:pP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4</Pages>
  <Words>6</Words>
  <Characters>1722</Characters>
  <Application>JUST Note</Application>
  <Lines>130</Lines>
  <Paragraphs>82</Paragraphs>
  <Company>経済産業省</Company>
  <CharactersWithSpaces>2298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鈴木 渉</cp:lastModifiedBy>
  <cp:lastPrinted>2021-12-24T06:59:00Z</cp:lastPrinted>
  <dcterms:created xsi:type="dcterms:W3CDTF">2021-12-24T06:26:00Z</dcterms:created>
  <dcterms:modified xsi:type="dcterms:W3CDTF">2023-11-15T05:28:43Z</dcterms:modified>
  <cp:revision>6</cp:revision>
</cp:coreProperties>
</file>