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様式第７号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参　考　決　済　手　数　料　率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　所：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代表者職氏名：　　　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・本市に対する提案において、可能なすべてのキャッシュレス決済の種類、手数料率等に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ついて記載すること。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・記載されている決済サービスは必須とすること。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・必要に応じて、行を追加すること。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・対応予定のものがある場合、備考欄に対応予定時期を記載すること。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6"/>
        <w:gridCol w:w="1833"/>
        <w:gridCol w:w="2419"/>
      </w:tblGrid>
      <w:tr>
        <w:trPr>
          <w:trHeight w:val="54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手数料率</w:t>
            </w:r>
          </w:p>
        </w:tc>
        <w:tc>
          <w:tcPr>
            <w:tcW w:w="24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契約方法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（包括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個別）</w:t>
            </w:r>
          </w:p>
        </w:tc>
      </w:tr>
      <w:tr>
        <w:trPr>
          <w:trHeight w:val="360" w:hRule="atLeast"/>
        </w:trPr>
        <w:tc>
          <w:tcPr>
            <w:tcW w:w="2126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クレジットカード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VISA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Mastercard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JCB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126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電子マネー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WAON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Suica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nanaco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126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コード決済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PayPay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楽天</w:t>
            </w:r>
            <w:r>
              <w:rPr>
                <w:rFonts w:hint="eastAsia" w:ascii="ＭＳ 明朝" w:hAnsi="ＭＳ 明朝" w:eastAsia="ＭＳ 明朝"/>
                <w:sz w:val="24"/>
              </w:rPr>
              <w:t>Pay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auPay</w:t>
            </w: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※必要に応じ行を追加してください。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2</Pages>
  <Words>9</Words>
  <Characters>237</Characters>
  <Application>JUST Note</Application>
  <Lines>358</Lines>
  <Paragraphs>25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 真樹子</cp:lastModifiedBy>
  <dcterms:modified xsi:type="dcterms:W3CDTF">2024-03-30T03:18:59Z</dcterms:modified>
  <cp:revision>1</cp:revision>
</cp:coreProperties>
</file>